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A0CFB">
      <w:pPr>
        <w:pStyle w:val="3"/>
        <w:spacing w:beforeLines="0" w:afterLines="0"/>
        <w:ind w:left="0" w:firstLine="0" w:firstLineChars="0"/>
        <w:rPr>
          <w:rFonts w:hint="eastAsia" w:ascii="Times New Roman" w:hAnsi="Times New Roman" w:eastAsia="Times New Roman"/>
          <w:color w:val="auto"/>
          <w:sz w:val="28"/>
          <w:szCs w:val="28"/>
        </w:rPr>
      </w:pPr>
    </w:p>
    <w:p w14:paraId="1F81A7BF">
      <w:pPr>
        <w:spacing w:beforeLines="0" w:afterLines="0" w:line="520"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z w:val="44"/>
          <w:szCs w:val="44"/>
        </w:rPr>
        <w:t>安全经营明白纸</w:t>
      </w:r>
    </w:p>
    <w:p w14:paraId="79042C4C">
      <w:pPr>
        <w:spacing w:beforeLines="0" w:afterLines="0" w:line="420" w:lineRule="exact"/>
        <w:ind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一、用电安全</w:t>
      </w:r>
    </w:p>
    <w:p w14:paraId="171DCD87">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采购电气设备，应选用合格产品，并应符合有关安全标准的要求。</w:t>
      </w:r>
    </w:p>
    <w:p w14:paraId="6B461C4C">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严禁擅自增加用电设备、超负荷用电。更换或新增电气设备时，需向市场管理部门报备，并应根据实际负荷重新校核、布置电气线路并设置保护措施。</w:t>
      </w:r>
    </w:p>
    <w:p w14:paraId="7591AB45">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电气线路敷设、电气设备安装和维修应由专业电工进行；不得随意乱接电线，严禁插排串联使用。</w:t>
      </w:r>
    </w:p>
    <w:p w14:paraId="2EECD0BF">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靠近可燃物的电器，应采取隔热、散热等防火保护措施;</w:t>
      </w:r>
    </w:p>
    <w:p w14:paraId="5FBA5463">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5.</w:t>
      </w:r>
      <w:r>
        <w:rPr>
          <w:rFonts w:hint="eastAsia" w:ascii="Times New Roman" w:hAnsi="Times New Roman" w:eastAsia="仿宋_GB2312"/>
          <w:color w:val="auto"/>
          <w:sz w:val="28"/>
          <w:szCs w:val="28"/>
        </w:rPr>
        <w:t>人员密集场所内严禁电动自行车停放、充电。</w:t>
      </w:r>
      <w:r>
        <w:rPr>
          <w:rFonts w:hint="eastAsia" w:ascii="Times New Roman" w:hAnsi="Times New Roman" w:eastAsia="Times New Roman"/>
          <w:color w:val="auto"/>
          <w:sz w:val="28"/>
          <w:szCs w:val="28"/>
        </w:rPr>
        <w:tab/>
      </w:r>
    </w:p>
    <w:p w14:paraId="7544CDC3">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6.营业结束后，应切断营业场所内的非必要电源，做到“人走电断”。</w:t>
      </w:r>
    </w:p>
    <w:p w14:paraId="0C6E675B">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二、用火安全</w:t>
      </w:r>
    </w:p>
    <w:p w14:paraId="4AB7E7C8">
      <w:pPr>
        <w:spacing w:beforeLines="0" w:afterLines="0" w:line="420" w:lineRule="exact"/>
        <w:ind w:firstLine="560" w:firstLineChars="200"/>
        <w:outlineLvl w:val="2"/>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人员密集场所禁止在营业期间进行动火施工。</w:t>
      </w:r>
    </w:p>
    <w:p w14:paraId="4B54A6AE">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电气焊等明火作业前，应按规定办理动火审批手续，</w:t>
      </w:r>
      <w:r>
        <w:rPr>
          <w:rFonts w:hint="eastAsia" w:eastAsia="仿宋_GB2312"/>
          <w:color w:val="auto"/>
          <w:sz w:val="28"/>
          <w:szCs w:val="28"/>
        </w:rPr>
        <w:t>作业人员持证上岗，</w:t>
      </w:r>
      <w:r>
        <w:rPr>
          <w:rFonts w:hint="eastAsia" w:ascii="Times New Roman" w:hAnsi="Times New Roman" w:eastAsia="仿宋_GB2312"/>
          <w:color w:val="auto"/>
          <w:sz w:val="28"/>
          <w:szCs w:val="28"/>
        </w:rPr>
        <w:t>清除</w:t>
      </w:r>
      <w:r>
        <w:rPr>
          <w:rFonts w:hint="eastAsia" w:eastAsia="仿宋_GB2312"/>
          <w:color w:val="auto"/>
          <w:sz w:val="28"/>
          <w:szCs w:val="28"/>
        </w:rPr>
        <w:t>周边</w:t>
      </w:r>
      <w:r>
        <w:rPr>
          <w:rFonts w:hint="eastAsia" w:ascii="Times New Roman" w:hAnsi="Times New Roman" w:eastAsia="仿宋_GB2312"/>
          <w:color w:val="auto"/>
          <w:sz w:val="28"/>
          <w:szCs w:val="28"/>
        </w:rPr>
        <w:t>可燃、易燃物品，配置灭火器材，落实现场监护人和安全措施，在确认无火灾、爆炸危险后方可动火作业</w:t>
      </w:r>
      <w:r>
        <w:rPr>
          <w:rFonts w:hint="eastAsia" w:eastAsia="仿宋_GB2312"/>
          <w:color w:val="auto"/>
          <w:sz w:val="28"/>
          <w:szCs w:val="28"/>
        </w:rPr>
        <w:t>；</w:t>
      </w:r>
      <w:r>
        <w:rPr>
          <w:rFonts w:hint="eastAsia" w:ascii="Times New Roman" w:hAnsi="Times New Roman" w:eastAsia="仿宋_GB2312"/>
          <w:color w:val="auto"/>
          <w:sz w:val="28"/>
          <w:szCs w:val="28"/>
        </w:rPr>
        <w:t>动火作业后，动火人员和监护人员必须及时清除可能遗留的火种，并安排专人进行检查，确认无危险后方可离开。</w:t>
      </w:r>
    </w:p>
    <w:p w14:paraId="2762F5FD">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人员密集场所不应使用明火照明或取暖。</w:t>
      </w:r>
    </w:p>
    <w:p w14:paraId="25C4ECF1">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宾馆、餐饮场所厨房烟道应至少每季度清洗一次，并保留记录。</w:t>
      </w:r>
    </w:p>
    <w:p w14:paraId="77109E55">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三、用气安全</w:t>
      </w:r>
    </w:p>
    <w:p w14:paraId="6FBDB940">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使用燃气时，应保持室内通风，开启油烟机、排气扇等排气设施，及时排除燃气燃烧产生的废气。</w:t>
      </w:r>
    </w:p>
    <w:p w14:paraId="29D1BB11">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用气完毕，管道燃气用户要关闭燃气表后阀门，每天停业后或长期外出还应关闭表前阀门。</w:t>
      </w:r>
    </w:p>
    <w:p w14:paraId="39734660">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燃气器具和燃气管道连接统一使用双头螺纹连接的不锈钢波纹管，长度不应超过2米且不应有接头，并不得穿墙、门窗等使用，严禁使用三通；燃气灶具与气源之间的水平距离不应小于0.5米。</w:t>
      </w:r>
    </w:p>
    <w:p w14:paraId="7F6F0157">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应使用带有熄火保护装置的燃气灶具，灶具使用年限不超过8年，禁止使用挡风圈节能圈以及红外线燃气灶具。</w:t>
      </w:r>
    </w:p>
    <w:p w14:paraId="7A0F0FCF">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5.</w:t>
      </w:r>
      <w:r>
        <w:rPr>
          <w:rFonts w:hint="eastAsia" w:ascii="Times New Roman" w:hAnsi="Times New Roman" w:eastAsia="仿宋_GB2312"/>
          <w:color w:val="auto"/>
          <w:sz w:val="28"/>
          <w:szCs w:val="28"/>
        </w:rPr>
        <w:t>禁止私自改动燃气设施，如需改动应向燃气公司申请，由专业人员进行施工。</w:t>
      </w:r>
    </w:p>
    <w:p w14:paraId="10DC32ED">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6.燃气管道与电线或电箱的距离至少保持30CM以上；严禁在燃气管道上搭挂物品，以免管道受力不均发生泄漏或事故。</w:t>
      </w:r>
    </w:p>
    <w:p w14:paraId="35092E84">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7.燃气设施应经常检查，当发现燃气器具或配件出现故障或损坏，应立即停止使用并通知燃气公司进行处理，不得私自处理，以免发生危险。</w:t>
      </w:r>
    </w:p>
    <w:p w14:paraId="6B6D6088">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正确选用和安装符合规范要求的能够自动切断气源的燃气报警器，天然气报警器应安装在距离气源水平距离约1.5米、距离顶棚约30CM且空气流通处；燃气报警器应定期检查检验，保证完好可用；燃气报警器应24小时通电，使其处于工作状态。</w:t>
      </w:r>
    </w:p>
    <w:p w14:paraId="0E1EC68A">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9.</w:t>
      </w:r>
      <w:r>
        <w:rPr>
          <w:rFonts w:hint="eastAsia" w:ascii="Times New Roman" w:hAnsi="Times New Roman" w:eastAsia="仿宋_GB2312"/>
          <w:color w:val="auto"/>
          <w:sz w:val="28"/>
          <w:szCs w:val="28"/>
        </w:rPr>
        <w:t>定期用可燃气体检测仪或肥皂水洗涤液检查燃气设备设施接口、开关等部位，看有无漏气，严禁用明火检漏；发现燃气泄漏等紧急情况时，应立即</w:t>
      </w:r>
      <w:r>
        <w:rPr>
          <w:rFonts w:hint="eastAsia" w:eastAsia="仿宋_GB2312"/>
          <w:color w:val="auto"/>
          <w:sz w:val="28"/>
          <w:szCs w:val="28"/>
        </w:rPr>
        <w:t>切断阀门，</w:t>
      </w:r>
      <w:r>
        <w:rPr>
          <w:rFonts w:hint="eastAsia" w:ascii="Times New Roman" w:hAnsi="Times New Roman" w:eastAsia="仿宋_GB2312"/>
          <w:color w:val="auto"/>
          <w:sz w:val="28"/>
          <w:szCs w:val="28"/>
        </w:rPr>
        <w:t>打开门窗通风，疏散人员，不得开关电器设备、拨打电话或使用明火，并</w:t>
      </w:r>
      <w:r>
        <w:rPr>
          <w:rFonts w:hint="eastAsia" w:eastAsia="仿宋_GB2312"/>
          <w:color w:val="auto"/>
          <w:sz w:val="28"/>
          <w:szCs w:val="28"/>
        </w:rPr>
        <w:t>立即</w:t>
      </w:r>
      <w:r>
        <w:rPr>
          <w:rFonts w:hint="eastAsia" w:ascii="Times New Roman" w:hAnsi="Times New Roman" w:eastAsia="仿宋_GB2312"/>
          <w:color w:val="auto"/>
          <w:sz w:val="28"/>
          <w:szCs w:val="28"/>
        </w:rPr>
        <w:t>通知燃气公司进行处理。</w:t>
      </w:r>
    </w:p>
    <w:p w14:paraId="332CC0F0">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10.</w:t>
      </w:r>
      <w:r>
        <w:rPr>
          <w:rFonts w:hint="eastAsia" w:ascii="Times New Roman" w:hAnsi="Times New Roman" w:eastAsia="仿宋_GB2312"/>
          <w:color w:val="auto"/>
          <w:sz w:val="28"/>
          <w:szCs w:val="28"/>
        </w:rPr>
        <w:t>对店内服务人员应加强燃气安全宣传和教育，提高安全意识和应急能力。</w:t>
      </w:r>
    </w:p>
    <w:p w14:paraId="64D6DE79">
      <w:pPr>
        <w:pStyle w:val="3"/>
        <w:spacing w:beforeLines="0" w:afterLines="0" w:line="420" w:lineRule="exact"/>
        <w:ind w:left="0" w:firstLine="560" w:firstLineChars="200"/>
        <w:outlineLvl w:val="1"/>
        <w:rPr>
          <w:rFonts w:hint="eastAsia" w:ascii="黑体" w:hAnsi="黑体" w:eastAsia="黑体" w:cs="黑体"/>
          <w:color w:val="auto"/>
          <w:sz w:val="28"/>
          <w:szCs w:val="28"/>
        </w:rPr>
      </w:pPr>
      <w:r>
        <w:rPr>
          <w:rFonts w:hint="eastAsia" w:ascii="黑体" w:hAnsi="黑体" w:eastAsia="黑体" w:cs="黑体"/>
          <w:color w:val="auto"/>
          <w:sz w:val="28"/>
          <w:szCs w:val="28"/>
        </w:rPr>
        <w:t>四、食品安全</w:t>
      </w:r>
    </w:p>
    <w:p w14:paraId="3090A3E4">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严控食品采购来源。认真落实食品进货查验记录制度，确保所采购食品均来自食品安全保障能力较强的供应商且质量安全可靠可控，确保各类票据齐全合法。不采购不符合食品安全标准的食品，不采购无合法来源或无法追溯来源的食品。</w:t>
      </w:r>
    </w:p>
    <w:p w14:paraId="015DD2E5">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严控食品销售过程。按照规范开展食品贮存、销售等活动，采取有效措施防控交叉污染；确保冷藏冷冻食品始终处于标签标识或标准要求的温度环境；不销售感官性状异常的食品，不销售超过保质期的食品，不销售未经任何防护的散装直接入口食品,不销售法律法规禁止的各类食品。</w:t>
      </w:r>
    </w:p>
    <w:p w14:paraId="2CE5685B">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3.严格员工健康管理。实行每日岗前健康检查，督促员工保持个人卫生，按要求穿戴清洁的工作衣、帽、口罩等上岗工作；确保从事接触直接入口食品的员工持健康证上岗，且未患</w:t>
      </w:r>
      <w:r>
        <w:rPr>
          <w:rFonts w:hint="eastAsia" w:ascii="Times New Roman" w:eastAsia="仿宋_GB2312"/>
          <w:color w:val="auto"/>
          <w:sz w:val="28"/>
          <w:szCs w:val="28"/>
        </w:rPr>
        <w:t>影响</w:t>
      </w:r>
      <w:r>
        <w:rPr>
          <w:rFonts w:hint="eastAsia" w:ascii="Times New Roman" w:hAnsi="Times New Roman" w:eastAsia="仿宋_GB2312"/>
          <w:color w:val="auto"/>
          <w:sz w:val="28"/>
          <w:szCs w:val="28"/>
        </w:rPr>
        <w:t>食品安全的疾病。</w:t>
      </w:r>
    </w:p>
    <w:p w14:paraId="00834CDD">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4.严控场所环境卫生。加强重点区域、重点环节的清洁消毒工作，确保经营场所干净整洁卫生，通风照明良好，无异味。</w:t>
      </w:r>
    </w:p>
    <w:p w14:paraId="502E204A">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eastAsia="黑体"/>
          <w:color w:val="auto"/>
          <w:sz w:val="28"/>
          <w:szCs w:val="28"/>
        </w:rPr>
        <w:t>五</w:t>
      </w:r>
      <w:r>
        <w:rPr>
          <w:rFonts w:hint="eastAsia" w:ascii="Times New Roman" w:hAnsi="Times New Roman" w:eastAsia="黑体"/>
          <w:color w:val="auto"/>
          <w:sz w:val="28"/>
          <w:szCs w:val="28"/>
        </w:rPr>
        <w:t>、其他安全</w:t>
      </w:r>
    </w:p>
    <w:p w14:paraId="584A073C">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1.</w:t>
      </w:r>
      <w:r>
        <w:rPr>
          <w:rFonts w:hint="eastAsia" w:ascii="Times New Roman" w:hAnsi="Times New Roman" w:eastAsia="仿宋_GB2312"/>
          <w:color w:val="auto"/>
          <w:kern w:val="0"/>
          <w:sz w:val="28"/>
          <w:szCs w:val="28"/>
        </w:rPr>
        <w:t>经营场所面积超过300平方米的公众聚集场所，开业前需向属地消防救援机构申请消防安全检查，并取得许可。</w:t>
      </w:r>
    </w:p>
    <w:p w14:paraId="4B774338">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2.</w:t>
      </w:r>
      <w:r>
        <w:rPr>
          <w:rFonts w:hint="eastAsia" w:ascii="Times New Roman" w:hAnsi="Times New Roman" w:eastAsia="仿宋_GB2312"/>
          <w:color w:val="auto"/>
          <w:kern w:val="0"/>
          <w:sz w:val="28"/>
          <w:szCs w:val="28"/>
        </w:rPr>
        <w:t>限额以上（指工程投资额在100万元以上且建筑面积在500平方米以上的工程）的房屋装修工程，需向住建部门</w:t>
      </w:r>
      <w:r>
        <w:rPr>
          <w:rFonts w:hint="eastAsia" w:ascii="Times New Roman" w:eastAsia="仿宋_GB2312"/>
          <w:color w:val="auto"/>
          <w:kern w:val="0"/>
          <w:sz w:val="28"/>
          <w:szCs w:val="28"/>
        </w:rPr>
        <w:t>申请</w:t>
      </w:r>
      <w:r>
        <w:rPr>
          <w:rFonts w:hint="eastAsia" w:ascii="Times New Roman" w:hAnsi="Times New Roman" w:eastAsia="仿宋_GB2312"/>
          <w:color w:val="auto"/>
          <w:kern w:val="0"/>
          <w:sz w:val="28"/>
          <w:szCs w:val="28"/>
        </w:rPr>
        <w:t>办理施工许可证。</w:t>
      </w:r>
    </w:p>
    <w:p w14:paraId="5C1D4A07">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3.</w:t>
      </w:r>
      <w:r>
        <w:rPr>
          <w:rFonts w:hint="eastAsia" w:ascii="Times New Roman" w:hAnsi="Times New Roman" w:eastAsia="仿宋_GB2312"/>
          <w:color w:val="auto"/>
          <w:kern w:val="0"/>
          <w:sz w:val="28"/>
          <w:szCs w:val="28"/>
        </w:rPr>
        <w:t>限额以下（指工程投资额在100万元以下（含）或者建筑面积在500平方米以下（含）的工程）的房屋装修等小散工程需到</w:t>
      </w:r>
      <w:r>
        <w:rPr>
          <w:rFonts w:hint="eastAsia" w:ascii="Times New Roman" w:eastAsia="仿宋_GB2312"/>
          <w:color w:val="auto"/>
          <w:kern w:val="0"/>
          <w:sz w:val="28"/>
          <w:szCs w:val="28"/>
        </w:rPr>
        <w:t>市场运营中心</w:t>
      </w:r>
      <w:r>
        <w:rPr>
          <w:rFonts w:hint="eastAsia" w:ascii="Times New Roman" w:hAnsi="Times New Roman" w:eastAsia="仿宋_GB2312"/>
          <w:color w:val="auto"/>
          <w:kern w:val="0"/>
          <w:sz w:val="28"/>
          <w:szCs w:val="28"/>
        </w:rPr>
        <w:t>办理备案登记，提报相关材料。</w:t>
      </w:r>
    </w:p>
    <w:p w14:paraId="07C320CF">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kern w:val="0"/>
          <w:sz w:val="28"/>
          <w:szCs w:val="28"/>
        </w:rPr>
        <w:t>4.</w:t>
      </w:r>
      <w:r>
        <w:rPr>
          <w:rFonts w:hint="eastAsia" w:ascii="Times New Roman" w:hAnsi="Times New Roman" w:eastAsia="仿宋_GB2312"/>
          <w:color w:val="auto"/>
          <w:kern w:val="0"/>
          <w:sz w:val="28"/>
          <w:szCs w:val="28"/>
        </w:rPr>
        <w:t>涉及动火、高处、吊装、临时用电等特殊作业的零星作业，需到</w:t>
      </w:r>
      <w:r>
        <w:rPr>
          <w:rFonts w:hint="eastAsia" w:ascii="Times New Roman" w:eastAsia="仿宋_GB2312"/>
          <w:color w:val="auto"/>
          <w:kern w:val="0"/>
          <w:sz w:val="28"/>
          <w:szCs w:val="28"/>
        </w:rPr>
        <w:t>市场运营中心</w:t>
      </w:r>
      <w:r>
        <w:rPr>
          <w:rFonts w:hint="eastAsia" w:ascii="Times New Roman" w:hAnsi="Times New Roman" w:eastAsia="仿宋_GB2312"/>
          <w:color w:val="auto"/>
          <w:kern w:val="0"/>
          <w:sz w:val="28"/>
          <w:szCs w:val="28"/>
        </w:rPr>
        <w:t>办理备案登记，并按</w:t>
      </w:r>
      <w:r>
        <w:rPr>
          <w:rFonts w:hint="eastAsia" w:ascii="Times New Roman" w:eastAsia="仿宋_GB2312"/>
          <w:color w:val="auto"/>
          <w:kern w:val="0"/>
          <w:sz w:val="28"/>
          <w:szCs w:val="28"/>
        </w:rPr>
        <w:t>规定</w:t>
      </w:r>
      <w:r>
        <w:rPr>
          <w:rFonts w:hint="eastAsia" w:ascii="Times New Roman" w:hAnsi="Times New Roman" w:eastAsia="仿宋_GB2312"/>
          <w:color w:val="auto"/>
          <w:kern w:val="0"/>
          <w:sz w:val="28"/>
          <w:szCs w:val="28"/>
        </w:rPr>
        <w:t>办理审批手续，</w:t>
      </w:r>
      <w:r>
        <w:rPr>
          <w:rFonts w:hint="eastAsia" w:ascii="Times New Roman" w:hAnsi="Times New Roman" w:eastAsia="仿宋_GB2312"/>
          <w:color w:val="auto"/>
          <w:sz w:val="28"/>
          <w:szCs w:val="28"/>
        </w:rPr>
        <w:t>落实现场监护人和安全措施。</w:t>
      </w:r>
    </w:p>
    <w:p w14:paraId="2CEDF046">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5.</w:t>
      </w:r>
      <w:r>
        <w:rPr>
          <w:rFonts w:hint="eastAsia" w:ascii="Times New Roman" w:hAnsi="Times New Roman" w:eastAsia="仿宋_GB2312"/>
          <w:color w:val="auto"/>
          <w:kern w:val="0"/>
          <w:sz w:val="28"/>
          <w:szCs w:val="28"/>
        </w:rPr>
        <w:t>人员密集场所严禁存放汽油、酒精等易燃易爆化学物品，严禁超量存放可燃物品。</w:t>
      </w:r>
    </w:p>
    <w:p w14:paraId="1603BA43">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仿宋_GB2312"/>
          <w:color w:val="auto"/>
          <w:kern w:val="0"/>
          <w:sz w:val="28"/>
          <w:szCs w:val="28"/>
        </w:rPr>
        <w:t>6.人员密集场所需保证安全出口和疏散通道畅通，配备足量的灭火器材，组织开展消防安全培训和应急疏散演练，全体从业人员须掌握“一懂三会”（懂火灾危险性，会报警、会灭火、会疏散）。</w:t>
      </w:r>
    </w:p>
    <w:p w14:paraId="14FB1A8C">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p>
    <w:p w14:paraId="3A31638B">
      <w:pPr>
        <w:pStyle w:val="3"/>
        <w:spacing w:beforeLines="0" w:afterLines="0"/>
        <w:ind w:left="0" w:firstLine="0" w:firstLineChars="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签收人</w:t>
      </w:r>
      <w:r>
        <w:rPr>
          <w:rFonts w:hint="eastAsia" w:ascii="Times New Roman" w:eastAsia="仿宋_GB2312"/>
          <w:color w:val="auto"/>
          <w:sz w:val="28"/>
          <w:szCs w:val="28"/>
        </w:rPr>
        <w:t>签字并摁手印</w:t>
      </w:r>
      <w:r>
        <w:rPr>
          <w:rFonts w:hint="eastAsia" w:ascii="Times New Roman" w:hAnsi="Times New Roman" w:eastAsia="仿宋_GB2312"/>
          <w:color w:val="auto"/>
          <w:sz w:val="28"/>
          <w:szCs w:val="28"/>
        </w:rPr>
        <w:t>：</w:t>
      </w:r>
    </w:p>
    <w:p w14:paraId="55DF43ED">
      <w:pPr>
        <w:pStyle w:val="3"/>
        <w:spacing w:beforeLines="0" w:afterLines="0"/>
        <w:ind w:left="0" w:firstLine="0" w:firstLineChars="0"/>
        <w:rPr>
          <w:rFonts w:hint="eastAsia" w:ascii="Times New Roman" w:hAnsi="Times New Roman" w:eastAsia="Times New Roman"/>
          <w:color w:val="auto"/>
          <w:sz w:val="28"/>
          <w:szCs w:val="28"/>
        </w:rPr>
      </w:pPr>
    </w:p>
    <w:p w14:paraId="71F94887">
      <w:pPr>
        <w:pStyle w:val="3"/>
        <w:spacing w:beforeLines="0" w:afterLines="0"/>
        <w:ind w:left="0" w:firstLine="0" w:firstLineChars="0"/>
        <w:rPr>
          <w:rFonts w:hint="eastAsia" w:ascii="Times New Roman" w:hAnsi="Times New Roman" w:eastAsia="Times New Roman"/>
          <w:color w:val="auto"/>
          <w:sz w:val="28"/>
          <w:szCs w:val="28"/>
        </w:rPr>
      </w:pPr>
    </w:p>
    <w:p w14:paraId="6FF97228">
      <w:pPr>
        <w:pStyle w:val="3"/>
        <w:spacing w:beforeLines="0" w:afterLines="0"/>
        <w:ind w:left="0" w:firstLine="0" w:firstLineChars="0"/>
        <w:rPr>
          <w:rFonts w:hint="eastAsia" w:ascii="Times New Roman" w:hAnsi="Times New Roman" w:eastAsia="Times New Roman"/>
          <w:color w:val="auto"/>
          <w:sz w:val="28"/>
          <w:szCs w:val="28"/>
        </w:rPr>
      </w:pPr>
    </w:p>
    <w:p w14:paraId="105C6DA1">
      <w:pPr>
        <w:pStyle w:val="3"/>
        <w:spacing w:beforeLines="0" w:afterLines="0"/>
        <w:ind w:left="0" w:firstLine="0" w:firstLineChars="0"/>
        <w:rPr>
          <w:rFonts w:hint="eastAsia" w:ascii="Times New Roman" w:hAnsi="Times New Roman" w:eastAsia="Times New Roman"/>
          <w:color w:val="auto"/>
          <w:sz w:val="28"/>
          <w:szCs w:val="28"/>
        </w:rPr>
      </w:pPr>
    </w:p>
    <w:p w14:paraId="7E679A48">
      <w:pPr>
        <w:pStyle w:val="3"/>
        <w:spacing w:beforeLines="0" w:afterLines="0"/>
        <w:ind w:left="0" w:firstLine="0" w:firstLineChars="0"/>
        <w:rPr>
          <w:rFonts w:hint="eastAsia" w:ascii="Times New Roman" w:hAnsi="Times New Roman" w:eastAsia="Times New Roman"/>
          <w:color w:val="auto"/>
          <w:sz w:val="28"/>
          <w:szCs w:val="28"/>
        </w:rPr>
      </w:pPr>
    </w:p>
    <w:p w14:paraId="7948C867">
      <w:pPr>
        <w:pStyle w:val="3"/>
        <w:spacing w:beforeLines="0" w:afterLines="0"/>
        <w:ind w:left="0" w:firstLine="0" w:firstLineChars="0"/>
        <w:rPr>
          <w:rFonts w:hint="eastAsia" w:ascii="Times New Roman" w:hAnsi="Times New Roman" w:eastAsia="Times New Roman"/>
          <w:color w:val="auto"/>
          <w:sz w:val="28"/>
          <w:szCs w:val="28"/>
        </w:rPr>
      </w:pPr>
    </w:p>
    <w:p w14:paraId="6BC568F3">
      <w:pPr>
        <w:pStyle w:val="3"/>
        <w:spacing w:beforeLines="0" w:afterLines="0"/>
        <w:ind w:left="0" w:firstLine="0" w:firstLineChars="0"/>
        <w:rPr>
          <w:rFonts w:hint="eastAsia" w:ascii="Times New Roman" w:hAnsi="Times New Roman" w:eastAsia="Times New Roman"/>
          <w:color w:val="auto"/>
          <w:sz w:val="28"/>
          <w:szCs w:val="28"/>
        </w:rPr>
      </w:pPr>
    </w:p>
    <w:p w14:paraId="7F408BEB">
      <w:pPr>
        <w:pStyle w:val="3"/>
        <w:spacing w:beforeLines="0" w:afterLines="0"/>
        <w:ind w:left="0" w:firstLine="0" w:firstLineChars="0"/>
        <w:rPr>
          <w:rFonts w:hint="eastAsia" w:ascii="Times New Roman" w:hAnsi="Times New Roman" w:eastAsia="Times New Roman"/>
          <w:color w:val="auto"/>
          <w:sz w:val="28"/>
          <w:szCs w:val="28"/>
        </w:rPr>
      </w:pPr>
    </w:p>
    <w:p w14:paraId="5E34255A">
      <w:pPr>
        <w:pStyle w:val="3"/>
        <w:spacing w:beforeLines="0" w:afterLines="0"/>
        <w:ind w:left="0" w:firstLine="0" w:firstLineChars="0"/>
        <w:rPr>
          <w:rFonts w:hint="eastAsia" w:ascii="Times New Roman" w:hAnsi="Times New Roman" w:eastAsia="Times New Roman"/>
          <w:color w:val="auto"/>
          <w:sz w:val="28"/>
          <w:szCs w:val="28"/>
        </w:rPr>
      </w:pPr>
    </w:p>
    <w:p w14:paraId="717BDB9C">
      <w:pPr>
        <w:shd w:val="clear" w:color="000000" w:fill="FFFFFF"/>
        <w:spacing w:beforeLines="0" w:afterLines="0" w:line="576"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pacing w:val="20"/>
          <w:sz w:val="44"/>
          <w:szCs w:val="44"/>
        </w:rPr>
        <w:t>安全生产管理协议</w:t>
      </w:r>
    </w:p>
    <w:p w14:paraId="7804B9A7">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5DDED7BC">
      <w:pPr>
        <w:spacing w:beforeLines="0" w:afterLines="0" w:line="480" w:lineRule="exact"/>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管理方：（以下简称甲方）</w:t>
      </w:r>
    </w:p>
    <w:p w14:paraId="2898C24A">
      <w:pPr>
        <w:spacing w:beforeLines="0" w:afterLines="0" w:line="480" w:lineRule="exact"/>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运营方：（以下简称乙方）</w:t>
      </w:r>
    </w:p>
    <w:p w14:paraId="63AFCCAE">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为确保甲方委托经营的场所、场地或建（构）筑物等（以下简称经营场所）的使用和生产经营安全，根据《中华人民共和国安全生产法》《中华人民共和国消防法》《</w:t>
      </w:r>
      <w:r>
        <w:rPr>
          <w:rFonts w:hint="default"/>
          <w:color w:val="auto"/>
          <w:sz w:val="21"/>
          <w:szCs w:val="24"/>
        </w:rPr>
        <w:fldChar w:fldCharType="begin"/>
      </w:r>
      <w:r>
        <w:rPr>
          <w:rFonts w:hint="default"/>
          <w:color w:val="auto"/>
          <w:sz w:val="21"/>
          <w:szCs w:val="24"/>
        </w:rPr>
        <w:instrText xml:space="preserve"> HYPERLINK "https://baike.baidu.com/item/%E4%B8%AD%E5%8D%8E%E4%BA%BA%E6%B0%91%E5%85%B1%E5%92%8C%E5%9B%BD%E6%B0%91%E6%B3%95%E5%85%B8/19435116" </w:instrText>
      </w:r>
      <w:r>
        <w:rPr>
          <w:rFonts w:hint="default"/>
          <w:color w:val="auto"/>
          <w:sz w:val="21"/>
          <w:szCs w:val="24"/>
        </w:rPr>
        <w:fldChar w:fldCharType="separate"/>
      </w:r>
      <w:r>
        <w:rPr>
          <w:rFonts w:hint="eastAsia" w:ascii="Times New Roman" w:hAnsi="Times New Roman" w:eastAsia="仿宋_GB2312"/>
          <w:color w:val="auto"/>
          <w:sz w:val="28"/>
          <w:szCs w:val="28"/>
        </w:rPr>
        <w:t>中华人民共和国民法典</w:t>
      </w:r>
      <w:r>
        <w:rPr>
          <w:rFonts w:hint="eastAsia" w:ascii="Times New Roman" w:hAnsi="Times New Roman" w:eastAsia="仿宋_GB2312"/>
          <w:color w:val="auto"/>
          <w:sz w:val="28"/>
          <w:szCs w:val="28"/>
        </w:rPr>
        <w:fldChar w:fldCharType="end"/>
      </w:r>
      <w:r>
        <w:rPr>
          <w:rFonts w:hint="eastAsia" w:ascii="Times New Roman" w:hAnsi="Times New Roman" w:eastAsia="仿宋_GB2312"/>
          <w:color w:val="auto"/>
          <w:sz w:val="28"/>
          <w:szCs w:val="28"/>
        </w:rPr>
        <w:t>》《山东省安全生产条例》等有关法律法规和条例规定，以及甲方公司有关安全生产的相关要求，甲乙双方经协商一致，达成如下协议，双方承诺共同遵守。</w:t>
      </w:r>
    </w:p>
    <w:p w14:paraId="3584529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一、委托经营场所名称及位置</w:t>
      </w:r>
      <w:r>
        <w:rPr>
          <w:rFonts w:hint="eastAsia" w:ascii="Times New Roman" w:hAnsi="Times New Roman" w:eastAsia="仿宋_GB2312"/>
          <w:color w:val="auto"/>
          <w:sz w:val="28"/>
          <w:szCs w:val="28"/>
        </w:rPr>
        <w:t>：          。</w:t>
      </w:r>
    </w:p>
    <w:p w14:paraId="3F135377">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二、委托经营场所用途</w:t>
      </w:r>
      <w:r>
        <w:rPr>
          <w:rFonts w:hint="eastAsia" w:ascii="Times New Roman" w:hAnsi="Times New Roman" w:eastAsia="仿宋_GB2312"/>
          <w:color w:val="auto"/>
          <w:sz w:val="28"/>
          <w:szCs w:val="28"/>
        </w:rPr>
        <w:t>：            。</w:t>
      </w:r>
    </w:p>
    <w:p w14:paraId="3F11781A">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三、合作期限</w:t>
      </w:r>
      <w:r>
        <w:rPr>
          <w:rFonts w:hint="eastAsia" w:ascii="Times New Roman" w:hAnsi="Times New Roman" w:eastAsia="仿宋_GB2312"/>
          <w:color w:val="auto"/>
          <w:sz w:val="28"/>
          <w:szCs w:val="28"/>
        </w:rPr>
        <w:t>：  年，详见合同。</w:t>
      </w:r>
    </w:p>
    <w:p w14:paraId="6D8DC07B">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四、甲方的安全责任</w:t>
      </w:r>
    </w:p>
    <w:p w14:paraId="62035A2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1.甲方负责在签订《委托运营管理合同》时，与乙方同步签订《安全生产管理协议》作为合同的补充。</w:t>
      </w:r>
    </w:p>
    <w:p w14:paraId="28086AF4">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2.甲方负责在合同签订前，对乙方的主体资格进行审核把关。</w:t>
      </w:r>
    </w:p>
    <w:p w14:paraId="2A96CA1C">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3.正式使用（运营）前，甲方负责牵头对拟委托经营场所的消防等安全设备设施进行验收和交接，包括明确经营场所周边环境和水、电、燃气（如有）、消防、要害部位等注意事项。</w:t>
      </w:r>
    </w:p>
    <w:p w14:paraId="1404CF2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4.甲方应严格按照安全法规要求，履行对委托经营场所的安全监管职责，有权对委托经营场所的安全生产和消防安全等情况进行安全检查。</w:t>
      </w:r>
    </w:p>
    <w:p w14:paraId="46DC37F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5.对发现的安全隐患，甲方有权要求乙方及时排除，乙方未整改前，甲方有权要求乙方无条件停业整改，造成的损失由乙方承担。</w:t>
      </w:r>
    </w:p>
    <w:p w14:paraId="2A7D6661">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6.对乙方提出涉及生产经营场所需甲方协助解决的安全等问题，甲方应积极予以协助。</w:t>
      </w:r>
    </w:p>
    <w:p w14:paraId="57B0BD76">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7.需将乙方主要负责人和安全管理人员纳入本单位的安全教育范畴，需定期组织或指导乙方进行全员的消防安全培训、应急疏散和专项预案等演练。</w:t>
      </w:r>
    </w:p>
    <w:p w14:paraId="03F0874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8.严格履行法律法规规定的其他安全职责。</w:t>
      </w:r>
    </w:p>
    <w:p w14:paraId="2C6ACD42">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五、乙方的安全责任</w:t>
      </w:r>
    </w:p>
    <w:p w14:paraId="1EFDDB4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乙方作为经营场所的实际使用人，必须具备相应的安全生产条件和资质资格要求。按照“谁经营使用谁负责”的原则，对承租经营场所（含无偿使用的公共部分）的生产经营和消防安全承担主体责任，对经营场所内的安全全面负责。</w:t>
      </w:r>
    </w:p>
    <w:p w14:paraId="24CBFDA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乙方应严格遵守法律法规等规定，严格按照属地政府、监管部门和甲方的要求，积极做好经营场所的生产经营和消防安全工作，并确保安全保障与防护措施到位。乙方应结合自身实际配备专职或兼职安全管理人员，制定相应安全管理制度并交甲方备案，认真履行自己的安全责任。乙方还要加强隐患排查治理，对经营场所开展经常性安全自查，建立隐患排查清单，及时消除事故隐患。</w:t>
      </w:r>
    </w:p>
    <w:p w14:paraId="6430B4B6">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3.乙方必须对各级安全检查提出的问题安排专人监督、在要求时间内整改完善，对重大安全隐患必须无条件停业整改，并承担相应费用或损失。</w:t>
      </w:r>
    </w:p>
    <w:p w14:paraId="40DA499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4.乙方必须严格遵守各项安全生产规定，保持经营场所内及周边消防通道、消防疏散门、疏散楼梯、安全出口等畅通，必须按消防法和国家相关规范标准规定配备消防设施、设置安全疏散标志及应急照明设施等。</w:t>
      </w:r>
    </w:p>
    <w:p w14:paraId="3F4C046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5.经营场所的灭火器等消防设备设施由乙方负责配备齐全且满足消防等安全要求，乙方负责对经营场所的消防等设备设施定期检查维护，并确保设备设施始终处于完好、正常状态，严禁遮挡、破坏或挪作他用。如有丢失、损坏应及时购置或维修添加，所产生费用由乙方承担。</w:t>
      </w:r>
    </w:p>
    <w:p w14:paraId="44B364B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乙方在经营场所及公共区域内，不得存放、使用危化品及易燃易爆品，禁止在具有火灾、爆炸危险的场所使用明火。作为库房使用的出租经营场所，必须符合《仓库防火安全管理规则》，严禁吸烟，严禁使用电热器具和家用电器等。</w:t>
      </w:r>
    </w:p>
    <w:p w14:paraId="25104978">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7.经营场所内用电必须符合相关规定，不得超负荷用电和私拉乱接临时电线，电气线路和电气设备的功率、保险装置应当与额定负荷相匹配。</w:t>
      </w:r>
    </w:p>
    <w:p w14:paraId="4E1E6334">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8.乙方须严格遵守法律法规和《委托运营管理合同》的规定，不得擅自改变经营场所及房屋等用途，不得私搭乱建设施，禁止破坏承重结构和消防设施等重点部位。</w:t>
      </w:r>
    </w:p>
    <w:p w14:paraId="4063F1B0">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9.乙方对经营场所进行装修改造或零星作业的，必须书面向甲方提出申请（投资额在100万元以上，且建筑面积在500平方米以上的工程需要办理施工许可证），提供相应的备案材料，经甲方审批同意后方可实施。装修或改造完工经甲方或行业主管部门验收合格后，方可投入使用。</w:t>
      </w:r>
    </w:p>
    <w:p w14:paraId="41E4551C">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10.乙方须履行防汛防台和疫情防控等安全职责，配齐配足防汛防台和疫情防控所需设施与物资，积极响应并严格按照政府部门及甲方要求做好经营场所及无偿使用公共部位的防汛防台和疫情防控等工作。</w:t>
      </w:r>
    </w:p>
    <w:p w14:paraId="56621661">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11.乙方应按国家相关规定，对全体从业人员进行岗前安全培训，定期组织进行安全教育培训和应急演练，确保从业人员熟练掌握本岗位安全技能、熟知岗位安全风险和防范措施，提高全员应急自救能力。乙方应为经营服务的客户及经营场所内的第三人，履行安全保障义务。</w:t>
      </w:r>
    </w:p>
    <w:p w14:paraId="65BBF6F0">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12.乙方在经营期间因违反安全管理规定及要求，造成人员伤亡等安全事故的，应及时上报甲方及相关部门，积极组织抢救并做好善后处置工作。</w:t>
      </w:r>
    </w:p>
    <w:p w14:paraId="090EA11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13.乙方变更经营场所用途，应取得甲方的书面同意，如需安全主管部门批准的，应取得安全主管部门的批准。</w:t>
      </w:r>
    </w:p>
    <w:p w14:paraId="4DDB5A19">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14.严格履行法律法规规定的其他安全职责。</w:t>
      </w:r>
    </w:p>
    <w:p w14:paraId="738EB780">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六、其他约定</w:t>
      </w:r>
    </w:p>
    <w:p w14:paraId="6EC6A2E8">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乙方如不服从甲方或主管部门的安全管理要求，或者安全条件达不到经营所需，甲方除有权要求乙方停业整改外，乙方应承担万元/次的违约金，并及时交付给甲方，否则，甲方有权直接从乙方的履约保证金中扣除。保证金不足时需乙方及时补足。因乙方安全隐患较大或整改后仍达不到安全要求的，或乙方利用此房进行不正当经营或者违法活动，视为乙方严重违约，甲方有权单方解除《委托运营管理合同》，乙方应在甲方要求的期限内搬离经营场所，乙方应承担造成的全部损失并向甲方支付        万元作为违约金，乙方投入的装饰装修、设备安装等费用不作补偿。</w:t>
      </w:r>
    </w:p>
    <w:p w14:paraId="26A08C7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2.本协议作为双方所签订《委托运营管理合同》的从合同，与《委托运营管理合同》具有同等的经济和法律效力。</w:t>
      </w:r>
    </w:p>
    <w:p w14:paraId="04E8E3E3">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七、协议生效、失效</w:t>
      </w:r>
    </w:p>
    <w:p w14:paraId="1A05A29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本协议自双方共同签字之日起生效，并自双方《委托运营管理合同》约定的期满之日失效。</w:t>
      </w:r>
    </w:p>
    <w:p w14:paraId="6BD20DE3">
      <w:pPr>
        <w:spacing w:beforeLines="0" w:afterLines="0" w:line="480" w:lineRule="exact"/>
        <w:ind w:firstLine="630" w:firstLineChars="225"/>
        <w:rPr>
          <w:rFonts w:hint="eastAsia" w:ascii="Times New Roman" w:hAnsi="Times New Roman" w:eastAsia="Times New Roman"/>
          <w:color w:val="auto"/>
          <w:sz w:val="28"/>
          <w:szCs w:val="28"/>
        </w:rPr>
      </w:pPr>
    </w:p>
    <w:p w14:paraId="76484D7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委托方（章）：受托方（章）：</w:t>
      </w:r>
    </w:p>
    <w:p w14:paraId="632F851E">
      <w:pPr>
        <w:spacing w:beforeLines="0" w:afterLines="0" w:line="480" w:lineRule="exact"/>
        <w:ind w:firstLine="630" w:firstLineChars="225"/>
        <w:rPr>
          <w:rFonts w:hint="eastAsia" w:ascii="Times New Roman" w:hAnsi="Times New Roman" w:eastAsia="Times New Roman"/>
          <w:color w:val="auto"/>
          <w:sz w:val="28"/>
          <w:szCs w:val="28"/>
        </w:rPr>
      </w:pPr>
    </w:p>
    <w:p w14:paraId="064B922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 xml:space="preserve">负责人或委托代理人：         负责人或委托代理人：    </w:t>
      </w:r>
    </w:p>
    <w:p w14:paraId="5689B7C9">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（签字）                     （签字）</w:t>
      </w:r>
    </w:p>
    <w:p w14:paraId="05FF1B39">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3568981A">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联系电话：                    联系电话：</w:t>
      </w:r>
    </w:p>
    <w:p w14:paraId="0185BA2F">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61E0126C">
      <w:pPr>
        <w:shd w:val="clear" w:color="000000" w:fill="FFFFFF"/>
        <w:spacing w:beforeLines="0" w:afterLines="0" w:line="576" w:lineRule="exact"/>
        <w:ind w:firstLine="560" w:firstLineChars="200"/>
        <w:rPr>
          <w:rFonts w:hint="default"/>
          <w:color w:val="auto"/>
          <w:sz w:val="28"/>
          <w:szCs w:val="28"/>
        </w:rPr>
      </w:pPr>
      <w:r>
        <w:rPr>
          <w:rFonts w:hint="eastAsia" w:ascii="Times New Roman" w:hAnsi="Times New Roman" w:eastAsia="仿宋_GB2312"/>
          <w:color w:val="auto"/>
          <w:sz w:val="28"/>
          <w:szCs w:val="28"/>
        </w:rPr>
        <w:t>签订时间</w:t>
      </w:r>
      <w:r>
        <w:rPr>
          <w:rFonts w:hint="eastAsia" w:ascii="Times New Roman" w:hAnsi="Times New Roman" w:eastAsia="仿宋_GB2312"/>
          <w:b/>
          <w:color w:val="auto"/>
          <w:sz w:val="28"/>
          <w:szCs w:val="28"/>
        </w:rPr>
        <w:t xml:space="preserve">：      </w:t>
      </w:r>
      <w:r>
        <w:rPr>
          <w:rFonts w:hint="eastAsia" w:ascii="Times New Roman" w:hAnsi="Times New Roman" w:eastAsia="仿宋_GB2312"/>
          <w:color w:val="auto"/>
          <w:sz w:val="28"/>
          <w:szCs w:val="28"/>
        </w:rPr>
        <w:t>年   月   日</w:t>
      </w:r>
    </w:p>
    <w:p w14:paraId="27F1F75C">
      <w:pPr>
        <w:pStyle w:val="6"/>
        <w:spacing w:beforeLines="0" w:afterLines="0"/>
        <w:ind w:firstLine="560"/>
        <w:rPr>
          <w:rFonts w:hint="default"/>
          <w:color w:val="auto"/>
          <w:sz w:val="28"/>
          <w:szCs w:val="28"/>
        </w:rPr>
      </w:pPr>
    </w:p>
    <w:p w14:paraId="799F307D">
      <w:pPr>
        <w:pStyle w:val="6"/>
        <w:spacing w:beforeLines="0" w:afterLines="0"/>
        <w:ind w:firstLine="560"/>
        <w:rPr>
          <w:rFonts w:hint="default"/>
          <w:color w:val="auto"/>
          <w:sz w:val="28"/>
          <w:szCs w:val="28"/>
        </w:rPr>
      </w:pPr>
    </w:p>
    <w:p w14:paraId="51EB48D3">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1DDA"/>
    <w:rsid w:val="483A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111"/>
    </w:pPr>
    <w:rPr>
      <w:rFonts w:hint="eastAsia" w:ascii="Microsoft JhengHei" w:eastAsia="Microsoft JhengHei"/>
      <w:sz w:val="32"/>
      <w:szCs w:val="24"/>
    </w:rPr>
  </w:style>
  <w:style w:type="paragraph" w:styleId="3">
    <w:name w:val="Body Text First Indent"/>
    <w:basedOn w:val="2"/>
    <w:unhideWhenUsed/>
    <w:qFormat/>
    <w:uiPriority w:val="0"/>
    <w:pPr>
      <w:spacing w:beforeLines="0" w:afterLines="0"/>
      <w:ind w:firstLine="420" w:firstLineChars="100"/>
    </w:pPr>
    <w:rPr>
      <w:rFonts w:hint="default" w:ascii="宋体" w:eastAsia="宋体"/>
      <w:sz w:val="32"/>
      <w:szCs w:val="24"/>
    </w:rPr>
  </w:style>
  <w:style w:type="paragraph" w:customStyle="1" w:styleId="6">
    <w:name w:val="BodyTextIndent"/>
    <w:basedOn w:val="1"/>
    <w:unhideWhenUsed/>
    <w:qFormat/>
    <w:uiPriority w:val="0"/>
    <w:pPr>
      <w:spacing w:beforeLines="0" w:afterLines="0" w:line="240" w:lineRule="atLeast"/>
      <w:ind w:firstLine="480" w:firstLine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5478</Words>
  <Characters>5571</Characters>
  <Lines>0</Lines>
  <Paragraphs>0</Paragraphs>
  <TotalTime>0</TotalTime>
  <ScaleCrop>false</ScaleCrop>
  <LinksUpToDate>false</LinksUpToDate>
  <CharactersWithSpaces>5724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Administrator.WIN-8NN6ATVOIDF</dc:creator>
  <cp:lastModifiedBy>辛小范儿</cp:lastModifiedBy>
  <dcterms:modified xsi:type="dcterms:W3CDTF">2025-11-25T00:54:21Z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A1B6979AA8B848D088FD7B88D57C6189_12</vt:lpwstr>
  </property>
</Properties>
</file>